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422FC">
      <w:pPr>
        <w:spacing w:line="360" w:lineRule="auto"/>
        <w:ind w:firstLine="640" w:firstLineChars="200"/>
        <w:jc w:val="center"/>
        <w:rPr>
          <w:rFonts w:ascii="黑体" w:hAnsi="黑体" w:eastAsia="黑体"/>
          <w:sz w:val="32"/>
          <w:szCs w:val="32"/>
        </w:rPr>
      </w:pPr>
    </w:p>
    <w:p w14:paraId="2D8BD5C8">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211E0195">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14" name="直接连接符 14"/>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61312;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oxxNUAAAAIAQAADwAAAAAAAAABACAAAAAiAAAAZHJzL2Rvd25yZXYueG1sUEsB&#10;AhQAFAAAAAgAh07iQIMSsAf4AQAAxQMAAA4AAAAAAAAAAQAgAAAAJAEAAGRycy9lMm9Eb2MueG1s&#10;UEsFBgAAAAAGAAYAWQEAAI4FAAAAAA==&#10;">
                <v:fill on="f" focussize="0,0"/>
                <v:stroke weight="2pt" color="#FF0000 [3204]" joinstyle="round"/>
                <v:imagedata o:title=""/>
                <o:lock v:ext="edit" aspectratio="f"/>
              </v:line>
            </w:pict>
          </mc:Fallback>
        </mc:AlternateContent>
      </w:r>
    </w:p>
    <w:p w14:paraId="566B9DC0">
      <w:pPr>
        <w:widowControl/>
        <w:spacing w:line="360" w:lineRule="auto"/>
        <w:jc w:val="center"/>
        <w:outlineLvl w:val="3"/>
        <w:rPr>
          <w:rFonts w:ascii="黑体" w:hAnsi="黑体" w:eastAsia="黑体" w:cs="宋体"/>
          <w:bCs/>
          <w:kern w:val="0"/>
          <w:sz w:val="32"/>
          <w:szCs w:val="32"/>
        </w:rPr>
      </w:pPr>
      <w:r>
        <w:rPr>
          <w:rFonts w:hint="eastAsia" w:ascii="黑体" w:hAnsi="黑体" w:eastAsia="黑体"/>
          <w:sz w:val="32"/>
          <w:szCs w:val="32"/>
        </w:rPr>
        <w:t>公益项目管理办法</w:t>
      </w:r>
    </w:p>
    <w:p w14:paraId="39FA4217">
      <w:pPr>
        <w:spacing w:line="360" w:lineRule="auto"/>
        <w:jc w:val="center"/>
        <w:rPr>
          <w:rFonts w:hint="eastAsia" w:ascii="黑体" w:hAnsi="黑体" w:eastAsia="黑体"/>
          <w:sz w:val="36"/>
          <w:szCs w:val="36"/>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32AD1291">
      <w:pPr>
        <w:spacing w:line="360" w:lineRule="auto"/>
        <w:ind w:firstLine="640" w:firstLineChars="200"/>
        <w:jc w:val="center"/>
        <w:rPr>
          <w:rFonts w:hint="eastAsia" w:ascii="仿宋" w:hAnsi="仿宋" w:eastAsia="仿宋"/>
          <w:sz w:val="32"/>
          <w:szCs w:val="32"/>
        </w:rPr>
      </w:pPr>
    </w:p>
    <w:p w14:paraId="71937547">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第一章</w:t>
      </w:r>
      <w:r>
        <w:rPr>
          <w:rFonts w:ascii="仿宋" w:hAnsi="仿宋" w:eastAsia="仿宋"/>
          <w:sz w:val="32"/>
          <w:szCs w:val="32"/>
        </w:rPr>
        <w:t xml:space="preserve"> 总则</w:t>
      </w:r>
    </w:p>
    <w:p w14:paraId="6AAC004C">
      <w:pPr>
        <w:spacing w:line="360" w:lineRule="auto"/>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为规范杭州诸商慈善基金会（以下简称基金会）项目管理工作，依据《基金会管理条例》、《关于规范基金会行为的若干规定（试行）》、《杭州诸商慈善基金会章程》制定本办法。</w:t>
      </w:r>
    </w:p>
    <w:p w14:paraId="53A94229">
      <w:pPr>
        <w:spacing w:line="360" w:lineRule="auto"/>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w:t>
      </w:r>
      <w:r>
        <w:rPr>
          <w:rFonts w:hint="eastAsia" w:ascii="仿宋" w:hAnsi="仿宋" w:eastAsia="仿宋"/>
          <w:sz w:val="32"/>
          <w:szCs w:val="32"/>
        </w:rPr>
        <w:t>基金会项目部</w:t>
      </w:r>
      <w:r>
        <w:rPr>
          <w:rFonts w:ascii="仿宋" w:hAnsi="仿宋" w:eastAsia="仿宋"/>
          <w:sz w:val="32"/>
          <w:szCs w:val="32"/>
        </w:rPr>
        <w:t>代表基金会行使立项、评估等相关监管工作。</w:t>
      </w:r>
    </w:p>
    <w:p w14:paraId="78DE16AA">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第二章</w:t>
      </w:r>
      <w:r>
        <w:rPr>
          <w:rFonts w:ascii="仿宋" w:hAnsi="仿宋" w:eastAsia="仿宋"/>
          <w:sz w:val="32"/>
          <w:szCs w:val="32"/>
        </w:rPr>
        <w:t xml:space="preserve"> 项目设立</w:t>
      </w:r>
    </w:p>
    <w:p w14:paraId="0CB8180B">
      <w:pPr>
        <w:spacing w:line="360" w:lineRule="auto"/>
        <w:ind w:firstLine="640" w:firstLineChars="200"/>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项目的设立须符合基金会的业务发展方向。基金会各部门可申请设立项目，开展公益活动。</w:t>
      </w:r>
    </w:p>
    <w:p w14:paraId="5D03AF5D">
      <w:pPr>
        <w:spacing w:line="360" w:lineRule="auto"/>
        <w:ind w:firstLine="640" w:firstLineChars="200"/>
        <w:rPr>
          <w:rFonts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根据项目情况申请项目启动金额度，由</w:t>
      </w:r>
      <w:r>
        <w:rPr>
          <w:rFonts w:hint="eastAsia" w:ascii="仿宋" w:hAnsi="仿宋" w:eastAsia="仿宋"/>
          <w:sz w:val="32"/>
          <w:szCs w:val="32"/>
        </w:rPr>
        <w:t>理事长</w:t>
      </w:r>
      <w:r>
        <w:rPr>
          <w:rFonts w:ascii="仿宋" w:hAnsi="仿宋" w:eastAsia="仿宋"/>
          <w:sz w:val="32"/>
          <w:szCs w:val="32"/>
        </w:rPr>
        <w:t>批准、项目负责人支配使用。</w:t>
      </w:r>
    </w:p>
    <w:p w14:paraId="2BA9A498">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立项流程</w:t>
      </w:r>
    </w:p>
    <w:p w14:paraId="7BC5E2DB">
      <w:pPr>
        <w:spacing w:line="360" w:lineRule="auto"/>
        <w:ind w:firstLine="640" w:firstLineChars="200"/>
        <w:rPr>
          <w:rFonts w:ascii="仿宋" w:hAnsi="仿宋" w:eastAsia="仿宋"/>
          <w:sz w:val="32"/>
          <w:szCs w:val="32"/>
        </w:rPr>
      </w:pPr>
      <w:r>
        <w:rPr>
          <w:rFonts w:hint="eastAsia" w:ascii="仿宋" w:hAnsi="仿宋" w:eastAsia="仿宋"/>
          <w:sz w:val="32"/>
          <w:szCs w:val="32"/>
        </w:rPr>
        <w:t>（一）申请部门提出立项申请并填写《杭州诸商慈善基金会公益项目申报书》，同时上报项目相关材料。</w:t>
      </w:r>
    </w:p>
    <w:p w14:paraId="63545D39">
      <w:pPr>
        <w:spacing w:line="360" w:lineRule="auto"/>
        <w:ind w:firstLine="640" w:firstLineChars="200"/>
        <w:rPr>
          <w:rFonts w:ascii="仿宋" w:hAnsi="仿宋" w:eastAsia="仿宋"/>
          <w:sz w:val="32"/>
          <w:szCs w:val="32"/>
        </w:rPr>
      </w:pPr>
      <w:r>
        <w:rPr>
          <w:rFonts w:hint="eastAsia" w:ascii="仿宋" w:hAnsi="仿宋" w:eastAsia="仿宋"/>
          <w:sz w:val="32"/>
          <w:szCs w:val="32"/>
        </w:rPr>
        <w:t>（二）项目部将项目材料统一汇总后，召集立项评审会议。</w:t>
      </w:r>
    </w:p>
    <w:p w14:paraId="28535760">
      <w:pPr>
        <w:spacing w:line="360" w:lineRule="auto"/>
        <w:ind w:firstLine="640" w:firstLineChars="200"/>
        <w:rPr>
          <w:rFonts w:ascii="仿宋" w:hAnsi="仿宋" w:eastAsia="仿宋"/>
          <w:sz w:val="32"/>
          <w:szCs w:val="32"/>
        </w:rPr>
      </w:pPr>
      <w:r>
        <w:rPr>
          <w:rFonts w:hint="eastAsia" w:ascii="仿宋" w:hAnsi="仿宋" w:eastAsia="仿宋"/>
          <w:sz w:val="32"/>
          <w:szCs w:val="32"/>
        </w:rPr>
        <w:t>（三）申请部门对核准的项目建立项目档案，内容包含：《杭州诸商慈善基金会公益项目申报书》、《立项审批意见表》以及其他，参照《杭州诸商慈善基金会档案管理制度》对项目档案进行管理。</w:t>
      </w:r>
    </w:p>
    <w:p w14:paraId="5B8A8D95">
      <w:pPr>
        <w:spacing w:line="360" w:lineRule="auto"/>
        <w:ind w:firstLine="640" w:firstLineChars="200"/>
        <w:rPr>
          <w:rFonts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立项评审会议参加人员由基金会主要领导、分管领导、申请立项部门、</w:t>
      </w:r>
      <w:r>
        <w:rPr>
          <w:rFonts w:hint="eastAsia" w:ascii="仿宋" w:hAnsi="仿宋" w:eastAsia="仿宋"/>
          <w:sz w:val="32"/>
          <w:szCs w:val="32"/>
        </w:rPr>
        <w:t>项目</w:t>
      </w:r>
      <w:r>
        <w:rPr>
          <w:rFonts w:ascii="仿宋" w:hAnsi="仿宋" w:eastAsia="仿宋"/>
          <w:sz w:val="32"/>
          <w:szCs w:val="32"/>
        </w:rPr>
        <w:t>部等相关人员组成</w:t>
      </w:r>
      <w:r>
        <w:rPr>
          <w:rFonts w:hint="eastAsia" w:ascii="仿宋" w:hAnsi="仿宋" w:eastAsia="仿宋"/>
          <w:sz w:val="32"/>
          <w:szCs w:val="32"/>
        </w:rPr>
        <w:t>，根据项目内容聘请相关专家参加</w:t>
      </w:r>
      <w:r>
        <w:rPr>
          <w:rFonts w:ascii="仿宋" w:hAnsi="仿宋" w:eastAsia="仿宋"/>
          <w:sz w:val="32"/>
          <w:szCs w:val="32"/>
        </w:rPr>
        <w:t>。</w:t>
      </w:r>
    </w:p>
    <w:p w14:paraId="55B482C5">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第三章</w:t>
      </w:r>
      <w:r>
        <w:rPr>
          <w:rFonts w:ascii="仿宋" w:hAnsi="仿宋" w:eastAsia="仿宋"/>
          <w:sz w:val="32"/>
          <w:szCs w:val="32"/>
        </w:rPr>
        <w:t xml:space="preserve"> 项目核算</w:t>
      </w:r>
    </w:p>
    <w:p w14:paraId="47F36F56">
      <w:pPr>
        <w:spacing w:line="360" w:lineRule="auto"/>
        <w:ind w:firstLine="640" w:firstLineChars="200"/>
        <w:rPr>
          <w:rFonts w:ascii="仿宋" w:hAnsi="仿宋" w:eastAsia="仿宋"/>
          <w:sz w:val="32"/>
          <w:szCs w:val="32"/>
        </w:rPr>
      </w:pPr>
      <w:r>
        <w:rPr>
          <w:rFonts w:hint="eastAsia" w:ascii="仿宋" w:hAnsi="仿宋" w:eastAsia="仿宋"/>
          <w:sz w:val="32"/>
          <w:szCs w:val="32"/>
        </w:rPr>
        <w:t>第七条</w:t>
      </w:r>
      <w:r>
        <w:rPr>
          <w:rFonts w:ascii="仿宋" w:hAnsi="仿宋" w:eastAsia="仿宋"/>
          <w:sz w:val="32"/>
          <w:szCs w:val="32"/>
        </w:rPr>
        <w:t xml:space="preserve">  各部门对所实施的项目进行归口管理，并委派项目负责人执行日常工作。项目业务活动发生重大变化时，须及时向</w:t>
      </w:r>
      <w:r>
        <w:rPr>
          <w:rFonts w:hint="eastAsia" w:ascii="仿宋" w:hAnsi="仿宋" w:eastAsia="仿宋"/>
          <w:sz w:val="32"/>
          <w:szCs w:val="32"/>
        </w:rPr>
        <w:t>项目</w:t>
      </w:r>
      <w:r>
        <w:rPr>
          <w:rFonts w:ascii="仿宋" w:hAnsi="仿宋" w:eastAsia="仿宋"/>
          <w:sz w:val="32"/>
          <w:szCs w:val="32"/>
        </w:rPr>
        <w:t>部通报情况。</w:t>
      </w:r>
    </w:p>
    <w:p w14:paraId="7FB42F09">
      <w:pPr>
        <w:spacing w:line="360" w:lineRule="auto"/>
        <w:ind w:firstLine="640" w:firstLineChars="200"/>
        <w:rPr>
          <w:rFonts w:ascii="仿宋" w:hAnsi="仿宋" w:eastAsia="仿宋"/>
          <w:sz w:val="32"/>
          <w:szCs w:val="32"/>
        </w:rPr>
      </w:pPr>
      <w:r>
        <w:rPr>
          <w:rFonts w:hint="eastAsia" w:ascii="仿宋" w:hAnsi="仿宋" w:eastAsia="仿宋"/>
          <w:sz w:val="32"/>
          <w:szCs w:val="32"/>
        </w:rPr>
        <w:t>第八条</w:t>
      </w:r>
      <w:r>
        <w:rPr>
          <w:rFonts w:ascii="仿宋" w:hAnsi="仿宋" w:eastAsia="仿宋"/>
          <w:sz w:val="32"/>
          <w:szCs w:val="32"/>
        </w:rPr>
        <w:t xml:space="preserve"> 各项目应当在本基金会网站和其他媒体上公布项目信息，按照《杭州诸商慈善基金会新闻宣传工作管理办法》执行。</w:t>
      </w:r>
    </w:p>
    <w:p w14:paraId="419EA506">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第九条 </w:t>
      </w:r>
      <w:r>
        <w:rPr>
          <w:rFonts w:ascii="仿宋" w:hAnsi="仿宋" w:eastAsia="仿宋"/>
          <w:sz w:val="32"/>
          <w:szCs w:val="32"/>
        </w:rPr>
        <w:t>基金会</w:t>
      </w:r>
      <w:r>
        <w:rPr>
          <w:rFonts w:hint="eastAsia" w:ascii="仿宋" w:hAnsi="仿宋" w:eastAsia="仿宋"/>
          <w:sz w:val="32"/>
          <w:szCs w:val="32"/>
        </w:rPr>
        <w:t>秘书处</w:t>
      </w:r>
      <w:r>
        <w:rPr>
          <w:rFonts w:ascii="仿宋" w:hAnsi="仿宋" w:eastAsia="仿宋"/>
          <w:sz w:val="32"/>
          <w:szCs w:val="32"/>
        </w:rPr>
        <w:t>根据立项评审会议意见为项目分设台帐，按月核算。</w:t>
      </w:r>
    </w:p>
    <w:p w14:paraId="4590A620">
      <w:pPr>
        <w:spacing w:line="360" w:lineRule="auto"/>
        <w:ind w:firstLine="640" w:firstLineChars="200"/>
        <w:rPr>
          <w:rFonts w:ascii="仿宋" w:hAnsi="仿宋" w:eastAsia="仿宋"/>
          <w:sz w:val="32"/>
          <w:szCs w:val="32"/>
        </w:rPr>
      </w:pPr>
      <w:r>
        <w:rPr>
          <w:rFonts w:hint="eastAsia" w:ascii="仿宋" w:hAnsi="仿宋" w:eastAsia="仿宋"/>
          <w:sz w:val="32"/>
          <w:szCs w:val="32"/>
        </w:rPr>
        <w:t>第十条</w:t>
      </w:r>
      <w:r>
        <w:rPr>
          <w:rFonts w:ascii="仿宋" w:hAnsi="仿宋" w:eastAsia="仿宋"/>
          <w:sz w:val="32"/>
          <w:szCs w:val="32"/>
        </w:rPr>
        <w:t xml:space="preserve"> 项目募集资金额扣除该项目公益支出即为基金会可支配收入。基金会可支配收入50%作为基金会间接管理费用，50%作为项目直接管理费用。</w:t>
      </w:r>
    </w:p>
    <w:p w14:paraId="13E37DE6">
      <w:pPr>
        <w:spacing w:line="360" w:lineRule="auto"/>
        <w:ind w:firstLine="640" w:firstLineChars="200"/>
        <w:rPr>
          <w:rFonts w:ascii="仿宋" w:hAnsi="仿宋" w:eastAsia="仿宋"/>
          <w:sz w:val="32"/>
          <w:szCs w:val="32"/>
        </w:rPr>
      </w:pPr>
      <w:r>
        <w:rPr>
          <w:rFonts w:hint="eastAsia" w:ascii="仿宋" w:hAnsi="仿宋" w:eastAsia="仿宋"/>
          <w:sz w:val="32"/>
          <w:szCs w:val="32"/>
        </w:rPr>
        <w:t>第十一条</w:t>
      </w:r>
      <w:r>
        <w:rPr>
          <w:rFonts w:ascii="仿宋" w:hAnsi="仿宋" w:eastAsia="仿宋"/>
          <w:sz w:val="32"/>
          <w:szCs w:val="32"/>
        </w:rPr>
        <w:t xml:space="preserve"> 项目可支配收入一旦确定，应扣除前期拨付的项目启动金。</w:t>
      </w:r>
    </w:p>
    <w:p w14:paraId="054E05D6">
      <w:pPr>
        <w:spacing w:line="360" w:lineRule="auto"/>
        <w:ind w:firstLine="640" w:firstLineChars="200"/>
        <w:rPr>
          <w:rFonts w:ascii="仿宋" w:hAnsi="仿宋" w:eastAsia="仿宋"/>
          <w:sz w:val="32"/>
          <w:szCs w:val="32"/>
        </w:rPr>
      </w:pPr>
      <w:r>
        <w:rPr>
          <w:rFonts w:hint="eastAsia" w:ascii="仿宋" w:hAnsi="仿宋" w:eastAsia="仿宋"/>
          <w:sz w:val="32"/>
          <w:szCs w:val="32"/>
        </w:rPr>
        <w:t>第十二条</w:t>
      </w:r>
      <w:r>
        <w:rPr>
          <w:rFonts w:ascii="仿宋" w:hAnsi="仿宋" w:eastAsia="仿宋"/>
          <w:sz w:val="32"/>
          <w:szCs w:val="32"/>
        </w:rPr>
        <w:t xml:space="preserve"> 项目可支配收入节余可结转至其他项目或下年。</w:t>
      </w:r>
    </w:p>
    <w:p w14:paraId="17393832">
      <w:pPr>
        <w:spacing w:line="360" w:lineRule="auto"/>
        <w:ind w:firstLine="640" w:firstLineChars="200"/>
        <w:rPr>
          <w:rFonts w:ascii="仿宋" w:hAnsi="仿宋" w:eastAsia="仿宋"/>
          <w:sz w:val="32"/>
          <w:szCs w:val="32"/>
        </w:rPr>
      </w:pPr>
      <w:r>
        <w:rPr>
          <w:rFonts w:hint="eastAsia" w:ascii="仿宋" w:hAnsi="仿宋" w:eastAsia="仿宋"/>
          <w:sz w:val="32"/>
          <w:szCs w:val="32"/>
        </w:rPr>
        <w:t>第十三条</w:t>
      </w:r>
      <w:r>
        <w:rPr>
          <w:rFonts w:ascii="仿宋" w:hAnsi="仿宋" w:eastAsia="仿宋"/>
          <w:sz w:val="32"/>
          <w:szCs w:val="32"/>
        </w:rPr>
        <w:t xml:space="preserve"> 与捐赠人协商项目直接运行费用，比例按协议执行。具体要求依照《关于规范基金会行为的若干规定（试行）》。</w:t>
      </w:r>
    </w:p>
    <w:p w14:paraId="78F1B854">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第四章</w:t>
      </w:r>
      <w:r>
        <w:rPr>
          <w:rFonts w:ascii="仿宋" w:hAnsi="仿宋" w:eastAsia="仿宋"/>
          <w:sz w:val="32"/>
          <w:szCs w:val="32"/>
        </w:rPr>
        <w:t xml:space="preserve"> 项目评估</w:t>
      </w:r>
    </w:p>
    <w:p w14:paraId="0AB5221B">
      <w:pPr>
        <w:spacing w:line="360" w:lineRule="auto"/>
        <w:ind w:firstLine="640" w:firstLineChars="200"/>
        <w:rPr>
          <w:rFonts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项目评估适用于基金会设立的各项目，每年评估一次。每次评估选取当年数据及材料作为评估依据。</w:t>
      </w:r>
    </w:p>
    <w:p w14:paraId="3BAE3981">
      <w:pPr>
        <w:spacing w:line="360" w:lineRule="auto"/>
        <w:ind w:firstLine="640" w:firstLineChars="200"/>
        <w:rPr>
          <w:rFonts w:ascii="仿宋" w:hAnsi="仿宋" w:eastAsia="仿宋"/>
          <w:sz w:val="32"/>
          <w:szCs w:val="32"/>
        </w:rPr>
      </w:pPr>
      <w:r>
        <w:rPr>
          <w:rFonts w:hint="eastAsia" w:ascii="仿宋" w:hAnsi="仿宋" w:eastAsia="仿宋"/>
          <w:sz w:val="32"/>
          <w:szCs w:val="32"/>
        </w:rPr>
        <w:t>第十五条</w:t>
      </w:r>
      <w:r>
        <w:rPr>
          <w:rFonts w:ascii="仿宋" w:hAnsi="仿宋" w:eastAsia="仿宋"/>
          <w:sz w:val="32"/>
          <w:szCs w:val="32"/>
        </w:rPr>
        <w:t xml:space="preserve"> 项目评估侧重于考察项目的规范度、贡献度、可持续发展能力、社会影响、开放度等，具体评估方式及得分标准参见附件。评分标准每年根据基金会项目发展情况进行修订。</w:t>
      </w:r>
    </w:p>
    <w:p w14:paraId="58453D1D">
      <w:pPr>
        <w:spacing w:line="360" w:lineRule="auto"/>
        <w:ind w:firstLine="640" w:firstLineChars="200"/>
        <w:rPr>
          <w:rFonts w:ascii="仿宋" w:hAnsi="仿宋" w:eastAsia="仿宋"/>
          <w:sz w:val="32"/>
          <w:szCs w:val="32"/>
        </w:rPr>
      </w:pPr>
      <w:r>
        <w:rPr>
          <w:rFonts w:hint="eastAsia" w:ascii="仿宋" w:hAnsi="仿宋" w:eastAsia="仿宋"/>
          <w:sz w:val="32"/>
          <w:szCs w:val="32"/>
        </w:rPr>
        <w:t>第十六条</w:t>
      </w:r>
      <w:r>
        <w:rPr>
          <w:rFonts w:ascii="仿宋" w:hAnsi="仿宋" w:eastAsia="仿宋"/>
          <w:sz w:val="32"/>
          <w:szCs w:val="32"/>
        </w:rPr>
        <w:t xml:space="preserve"> 所有参评项目中选取一定数量的项目作为年度优秀项目，按照评估得分由高到低为序。年度优秀项目给与一定额度的现金奖励。</w:t>
      </w:r>
    </w:p>
    <w:p w14:paraId="406658CD">
      <w:pPr>
        <w:spacing w:line="360" w:lineRule="auto"/>
        <w:ind w:firstLine="640" w:firstLineChars="200"/>
        <w:rPr>
          <w:rFonts w:ascii="仿宋" w:hAnsi="仿宋" w:eastAsia="仿宋"/>
          <w:sz w:val="32"/>
          <w:szCs w:val="32"/>
        </w:rPr>
      </w:pPr>
      <w:r>
        <w:rPr>
          <w:rFonts w:hint="eastAsia" w:ascii="仿宋" w:hAnsi="仿宋" w:eastAsia="仿宋"/>
          <w:sz w:val="32"/>
          <w:szCs w:val="32"/>
        </w:rPr>
        <w:t>第十七条</w:t>
      </w:r>
      <w:r>
        <w:rPr>
          <w:rFonts w:ascii="仿宋" w:hAnsi="仿宋" w:eastAsia="仿宋"/>
          <w:sz w:val="32"/>
          <w:szCs w:val="32"/>
        </w:rPr>
        <w:t xml:space="preserve"> 根据评估得分情况和项目发展情况确定一定比例的项目限期重评或终止。</w:t>
      </w:r>
    </w:p>
    <w:p w14:paraId="48C4AA1D">
      <w:pPr>
        <w:spacing w:line="360" w:lineRule="auto"/>
        <w:ind w:firstLine="640" w:firstLineChars="200"/>
        <w:rPr>
          <w:rFonts w:ascii="仿宋" w:hAnsi="仿宋" w:eastAsia="仿宋"/>
          <w:sz w:val="32"/>
          <w:szCs w:val="32"/>
        </w:rPr>
      </w:pPr>
      <w:r>
        <w:rPr>
          <w:rFonts w:hint="eastAsia" w:ascii="仿宋" w:hAnsi="仿宋" w:eastAsia="仿宋"/>
          <w:sz w:val="32"/>
          <w:szCs w:val="32"/>
        </w:rPr>
        <w:t>第十八条</w:t>
      </w:r>
      <w:r>
        <w:rPr>
          <w:rFonts w:ascii="仿宋" w:hAnsi="仿宋" w:eastAsia="仿宋"/>
          <w:sz w:val="32"/>
          <w:szCs w:val="32"/>
        </w:rPr>
        <w:t xml:space="preserve"> 评估过程中综合事业部、基金会办公室、信息工作小组、法律工作小组联合对参评项目进行打分。综合事业部选取适宜时机召开评估会议。</w:t>
      </w:r>
    </w:p>
    <w:p w14:paraId="24645602">
      <w:pPr>
        <w:spacing w:line="360" w:lineRule="auto"/>
        <w:ind w:firstLine="640" w:firstLineChars="200"/>
        <w:rPr>
          <w:rFonts w:ascii="仿宋" w:hAnsi="仿宋" w:eastAsia="仿宋"/>
          <w:sz w:val="32"/>
          <w:szCs w:val="32"/>
        </w:rPr>
      </w:pPr>
      <w:r>
        <w:rPr>
          <w:rFonts w:hint="eastAsia" w:ascii="仿宋" w:hAnsi="仿宋" w:eastAsia="仿宋"/>
          <w:sz w:val="32"/>
          <w:szCs w:val="32"/>
        </w:rPr>
        <w:t>评估会议参加人员有基金会领导、办公室、项目部等相关人员和专家。</w:t>
      </w:r>
    </w:p>
    <w:p w14:paraId="42E4BBDF">
      <w:pPr>
        <w:spacing w:line="360" w:lineRule="auto"/>
        <w:ind w:firstLine="640" w:firstLineChars="200"/>
        <w:rPr>
          <w:rFonts w:ascii="仿宋" w:hAnsi="仿宋" w:eastAsia="仿宋"/>
          <w:sz w:val="32"/>
          <w:szCs w:val="32"/>
        </w:rPr>
      </w:pPr>
      <w:r>
        <w:rPr>
          <w:rFonts w:hint="eastAsia" w:ascii="仿宋" w:hAnsi="仿宋" w:eastAsia="仿宋"/>
          <w:sz w:val="32"/>
          <w:szCs w:val="32"/>
        </w:rPr>
        <w:t>第十九条</w:t>
      </w:r>
      <w:r>
        <w:rPr>
          <w:rFonts w:ascii="仿宋" w:hAnsi="仿宋" w:eastAsia="仿宋"/>
          <w:sz w:val="32"/>
          <w:szCs w:val="32"/>
        </w:rPr>
        <w:t xml:space="preserve"> 项目归口部门委派一名代表参与监督项目评估。</w:t>
      </w:r>
    </w:p>
    <w:p w14:paraId="50D9F134">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第五章</w:t>
      </w:r>
      <w:r>
        <w:rPr>
          <w:rFonts w:ascii="仿宋" w:hAnsi="仿宋" w:eastAsia="仿宋"/>
          <w:sz w:val="32"/>
          <w:szCs w:val="32"/>
        </w:rPr>
        <w:t xml:space="preserve"> 项目终止</w:t>
      </w:r>
    </w:p>
    <w:p w14:paraId="17163E8E">
      <w:pPr>
        <w:spacing w:line="360" w:lineRule="auto"/>
        <w:ind w:firstLine="640" w:firstLineChars="200"/>
        <w:rPr>
          <w:rFonts w:ascii="仿宋" w:hAnsi="仿宋" w:eastAsia="仿宋"/>
          <w:sz w:val="32"/>
          <w:szCs w:val="32"/>
        </w:rPr>
      </w:pPr>
      <w:r>
        <w:rPr>
          <w:rFonts w:hint="eastAsia" w:ascii="仿宋" w:hAnsi="仿宋" w:eastAsia="仿宋"/>
          <w:sz w:val="32"/>
          <w:szCs w:val="32"/>
        </w:rPr>
        <w:t>第二十条</w:t>
      </w:r>
      <w:r>
        <w:rPr>
          <w:rFonts w:ascii="仿宋" w:hAnsi="仿宋" w:eastAsia="仿宋"/>
          <w:sz w:val="32"/>
          <w:szCs w:val="32"/>
        </w:rPr>
        <w:t xml:space="preserve"> 遇下列情况，基金会有权终止该项目：</w:t>
      </w:r>
    </w:p>
    <w:p w14:paraId="02AEF72F">
      <w:pPr>
        <w:spacing w:line="360" w:lineRule="auto"/>
        <w:ind w:firstLine="640" w:firstLineChars="200"/>
        <w:rPr>
          <w:rFonts w:ascii="仿宋" w:hAnsi="仿宋" w:eastAsia="仿宋"/>
          <w:sz w:val="32"/>
          <w:szCs w:val="32"/>
        </w:rPr>
      </w:pPr>
      <w:r>
        <w:rPr>
          <w:rFonts w:hint="eastAsia" w:ascii="仿宋" w:hAnsi="仿宋" w:eastAsia="仿宋"/>
          <w:sz w:val="32"/>
          <w:szCs w:val="32"/>
        </w:rPr>
        <w:t>（一）项目使命已完成；</w:t>
      </w:r>
    </w:p>
    <w:p w14:paraId="6489C8BC">
      <w:pPr>
        <w:spacing w:line="360" w:lineRule="auto"/>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公益项目实施过程或公益款项的使用违反有关法律法规；</w:t>
      </w:r>
    </w:p>
    <w:p w14:paraId="5F9DEBCD">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 xml:space="preserve"> 其他需终止项目的情况。</w:t>
      </w:r>
    </w:p>
    <w:p w14:paraId="1D899D16">
      <w:pPr>
        <w:spacing w:line="360" w:lineRule="auto"/>
        <w:ind w:firstLine="640" w:firstLineChars="200"/>
        <w:rPr>
          <w:rFonts w:ascii="仿宋" w:hAnsi="仿宋" w:eastAsia="仿宋"/>
          <w:sz w:val="32"/>
          <w:szCs w:val="32"/>
        </w:rPr>
      </w:pPr>
      <w:r>
        <w:rPr>
          <w:rFonts w:hint="eastAsia" w:ascii="仿宋" w:hAnsi="仿宋" w:eastAsia="仿宋"/>
          <w:sz w:val="32"/>
          <w:szCs w:val="32"/>
        </w:rPr>
        <w:t>第二十一条</w:t>
      </w:r>
      <w:r>
        <w:rPr>
          <w:rFonts w:ascii="仿宋" w:hAnsi="仿宋" w:eastAsia="仿宋"/>
          <w:sz w:val="32"/>
          <w:szCs w:val="32"/>
        </w:rPr>
        <w:t xml:space="preserve"> 项目终止后由项目归口部门对该项目进行清算并填写《杭州诸商慈善基金会公益项目结算报告书》报综合事业部，按照《基金会管理条例》和《杭州诸商慈善基金会章程》进行处理。</w:t>
      </w:r>
    </w:p>
    <w:p w14:paraId="4CDB86D9">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第六章</w:t>
      </w:r>
      <w:r>
        <w:rPr>
          <w:rFonts w:ascii="仿宋" w:hAnsi="仿宋" w:eastAsia="仿宋"/>
          <w:sz w:val="32"/>
          <w:szCs w:val="32"/>
        </w:rPr>
        <w:t xml:space="preserve"> 附则</w:t>
      </w:r>
    </w:p>
    <w:p w14:paraId="5E949FAF">
      <w:pPr>
        <w:spacing w:line="360" w:lineRule="auto"/>
        <w:ind w:firstLine="640" w:firstLineChars="200"/>
        <w:rPr>
          <w:rFonts w:ascii="仿宋" w:hAnsi="仿宋" w:eastAsia="仿宋"/>
          <w:sz w:val="32"/>
          <w:szCs w:val="32"/>
        </w:rPr>
      </w:pPr>
      <w:r>
        <w:rPr>
          <w:rFonts w:hint="eastAsia" w:ascii="仿宋" w:hAnsi="仿宋" w:eastAsia="仿宋"/>
          <w:sz w:val="32"/>
          <w:szCs w:val="32"/>
        </w:rPr>
        <w:t>第二十二条</w:t>
      </w:r>
      <w:r>
        <w:rPr>
          <w:rFonts w:ascii="仿宋" w:hAnsi="仿宋" w:eastAsia="仿宋"/>
          <w:sz w:val="32"/>
          <w:szCs w:val="32"/>
        </w:rPr>
        <w:t xml:space="preserve"> 本办法由杭州诸商慈善基金会负责解释。</w:t>
      </w:r>
    </w:p>
    <w:p w14:paraId="7E9A2B6A">
      <w:pPr>
        <w:spacing w:line="360" w:lineRule="auto"/>
        <w:ind w:firstLine="640" w:firstLineChars="200"/>
        <w:rPr>
          <w:rFonts w:ascii="仿宋" w:hAnsi="仿宋" w:eastAsia="仿宋"/>
          <w:sz w:val="32"/>
          <w:szCs w:val="32"/>
        </w:rPr>
      </w:pPr>
      <w:r>
        <w:rPr>
          <w:rFonts w:hint="eastAsia" w:ascii="仿宋" w:hAnsi="仿宋" w:eastAsia="仿宋"/>
          <w:sz w:val="32"/>
          <w:szCs w:val="32"/>
        </w:rPr>
        <w:t>第二十三条</w:t>
      </w:r>
      <w:r>
        <w:rPr>
          <w:rFonts w:ascii="仿宋" w:hAnsi="仿宋" w:eastAsia="仿宋"/>
          <w:sz w:val="32"/>
          <w:szCs w:val="32"/>
        </w:rPr>
        <w:t xml:space="preserve"> 本办法自公布之日起执行。</w:t>
      </w:r>
    </w:p>
    <w:p w14:paraId="77CD1879">
      <w:pPr>
        <w:spacing w:line="360" w:lineRule="auto"/>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 xml:space="preserve"> </w:t>
      </w:r>
    </w:p>
    <w:p w14:paraId="72E690C5">
      <w:pPr>
        <w:spacing w:line="360" w:lineRule="auto"/>
        <w:ind w:firstLine="640" w:firstLineChars="200"/>
        <w:rPr>
          <w:rFonts w:ascii="仿宋" w:hAnsi="仿宋" w:eastAsia="仿宋"/>
          <w:sz w:val="32"/>
          <w:szCs w:val="32"/>
        </w:rPr>
      </w:pPr>
      <w:r>
        <w:rPr>
          <w:rFonts w:hint="eastAsia" w:ascii="仿宋" w:hAnsi="仿宋" w:eastAsia="仿宋"/>
          <w:sz w:val="32"/>
          <w:szCs w:val="32"/>
        </w:rPr>
        <w:t>《杭州诸商慈善基金会公益项目申报书》</w:t>
      </w:r>
    </w:p>
    <w:p w14:paraId="4AF29EF5">
      <w:pPr>
        <w:spacing w:line="360" w:lineRule="auto"/>
        <w:ind w:firstLine="640" w:firstLineChars="200"/>
        <w:rPr>
          <w:rFonts w:ascii="仿宋" w:hAnsi="仿宋" w:eastAsia="仿宋"/>
          <w:sz w:val="32"/>
          <w:szCs w:val="32"/>
        </w:rPr>
      </w:pPr>
      <w:r>
        <w:rPr>
          <w:rFonts w:hint="eastAsia" w:ascii="仿宋" w:hAnsi="仿宋" w:eastAsia="仿宋"/>
          <w:sz w:val="32"/>
          <w:szCs w:val="32"/>
        </w:rPr>
        <w:t>《杭州诸商慈善基金会公益项目立项审批意见表》</w:t>
      </w:r>
    </w:p>
    <w:p w14:paraId="0A791623">
      <w:pPr>
        <w:spacing w:line="360" w:lineRule="auto"/>
        <w:ind w:firstLine="640" w:firstLineChars="200"/>
        <w:rPr>
          <w:rFonts w:ascii="仿宋" w:hAnsi="仿宋" w:eastAsia="仿宋"/>
          <w:sz w:val="32"/>
          <w:szCs w:val="32"/>
        </w:rPr>
      </w:pPr>
      <w:r>
        <w:rPr>
          <w:rFonts w:hint="eastAsia" w:ascii="仿宋" w:hAnsi="仿宋" w:eastAsia="仿宋"/>
          <w:sz w:val="32"/>
          <w:szCs w:val="32"/>
        </w:rPr>
        <w:t>《杭州诸商慈善基金会公益项目结算报告书》</w:t>
      </w:r>
    </w:p>
    <w:p w14:paraId="50DDE1D1">
      <w:pPr>
        <w:spacing w:line="360" w:lineRule="auto"/>
        <w:ind w:firstLine="640" w:firstLineChars="200"/>
        <w:rPr>
          <w:rFonts w:ascii="黑体" w:hAnsi="黑体" w:eastAsia="黑体"/>
          <w:sz w:val="32"/>
          <w:szCs w:val="32"/>
        </w:rPr>
      </w:pPr>
      <w:r>
        <w:rPr>
          <w:rFonts w:hint="eastAsia" w:ascii="仿宋" w:hAnsi="仿宋" w:eastAsia="仿宋"/>
          <w:sz w:val="32"/>
          <w:szCs w:val="32"/>
        </w:rPr>
        <w:t>《杭州诸商慈善基金会公益项目评估方式及得分标准》</w:t>
      </w:r>
      <w:bookmarkStart w:id="0" w:name="_GoBack"/>
      <w:bookmarkEnd w:id="0"/>
    </w:p>
    <w:p w14:paraId="577D1631">
      <w:pPr>
        <w:spacing w:line="580" w:lineRule="exact"/>
        <w:jc w:val="center"/>
        <w:rPr>
          <w:rFonts w:hint="eastAsia" w:ascii="仿宋_GB2312" w:eastAsia="仿宋_GB2312"/>
          <w:sz w:val="32"/>
          <w:szCs w:val="32"/>
        </w:rPr>
      </w:pPr>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60850A-D5C9-4E58-A0B5-C007ABE69D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2230EA0A-CA44-4289-AFF2-73F9A7CF1DDB}"/>
  </w:font>
  <w:font w:name="仿宋">
    <w:panose1 w:val="02010609060101010101"/>
    <w:charset w:val="86"/>
    <w:family w:val="modern"/>
    <w:pitch w:val="default"/>
    <w:sig w:usb0="800002BF" w:usb1="38CF7CFA" w:usb2="00000016" w:usb3="00000000" w:csb0="00040001" w:csb1="00000000"/>
    <w:embedRegular r:id="rId3" w:fontKey="{6ABB61DA-CE1E-4C3D-849B-69BA34D37AC0}"/>
  </w:font>
  <w:font w:name="仿宋_GB2312">
    <w:altName w:val="仿宋"/>
    <w:panose1 w:val="00000000000000000000"/>
    <w:charset w:val="86"/>
    <w:family w:val="decorative"/>
    <w:pitch w:val="default"/>
    <w:sig w:usb0="00000000" w:usb1="00000000" w:usb2="00000010" w:usb3="00000000" w:csb0="00040000" w:csb1="00000000"/>
    <w:embedRegular r:id="rId4" w:fontKey="{8FBC3655-97FE-4F9F-BBE8-6A3D954FD14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1CD2B81"/>
    <w:rsid w:val="029A6A52"/>
    <w:rsid w:val="04D253F8"/>
    <w:rsid w:val="05490839"/>
    <w:rsid w:val="05A141B4"/>
    <w:rsid w:val="0A5527F5"/>
    <w:rsid w:val="0ECD1641"/>
    <w:rsid w:val="12BD603C"/>
    <w:rsid w:val="160B6B83"/>
    <w:rsid w:val="18B8291A"/>
    <w:rsid w:val="18EB43EE"/>
    <w:rsid w:val="1BCA00E8"/>
    <w:rsid w:val="1BCB06CE"/>
    <w:rsid w:val="1DE63A32"/>
    <w:rsid w:val="204A54EF"/>
    <w:rsid w:val="20FD05AB"/>
    <w:rsid w:val="217557F8"/>
    <w:rsid w:val="23856A56"/>
    <w:rsid w:val="23D06382"/>
    <w:rsid w:val="27A95684"/>
    <w:rsid w:val="27AC6C95"/>
    <w:rsid w:val="289514A8"/>
    <w:rsid w:val="2C374D1B"/>
    <w:rsid w:val="2DF34EA0"/>
    <w:rsid w:val="2F257BE7"/>
    <w:rsid w:val="34106DFB"/>
    <w:rsid w:val="34974A05"/>
    <w:rsid w:val="365E39F4"/>
    <w:rsid w:val="37502610"/>
    <w:rsid w:val="4034203D"/>
    <w:rsid w:val="40A6021E"/>
    <w:rsid w:val="40C357E1"/>
    <w:rsid w:val="436D4129"/>
    <w:rsid w:val="46F624E5"/>
    <w:rsid w:val="48DB1B35"/>
    <w:rsid w:val="49302DA0"/>
    <w:rsid w:val="4C55409A"/>
    <w:rsid w:val="4E6B45BF"/>
    <w:rsid w:val="50FD3224"/>
    <w:rsid w:val="51CC6384"/>
    <w:rsid w:val="52653BBD"/>
    <w:rsid w:val="53A54549"/>
    <w:rsid w:val="57715B3F"/>
    <w:rsid w:val="597C58A9"/>
    <w:rsid w:val="5B246D76"/>
    <w:rsid w:val="5FC609F2"/>
    <w:rsid w:val="611778D9"/>
    <w:rsid w:val="64E24571"/>
    <w:rsid w:val="671C39B6"/>
    <w:rsid w:val="67E817AD"/>
    <w:rsid w:val="68D6620B"/>
    <w:rsid w:val="6BD5497A"/>
    <w:rsid w:val="6BE23A0B"/>
    <w:rsid w:val="6E922B12"/>
    <w:rsid w:val="70FE073F"/>
    <w:rsid w:val="72F262E6"/>
    <w:rsid w:val="73CF3EC1"/>
    <w:rsid w:val="7F5C0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uiPriority w:val="0"/>
  </w:style>
  <w:style w:type="character" w:styleId="15">
    <w:name w:val="annotation reference"/>
    <w:semiHidden/>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8670</Words>
  <Characters>8725</Characters>
  <Lines>235</Lines>
  <Paragraphs>66</Paragraphs>
  <TotalTime>20</TotalTime>
  <ScaleCrop>false</ScaleCrop>
  <LinksUpToDate>false</LinksUpToDate>
  <CharactersWithSpaces>8882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2024-07-31T09:09:19Z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D2536C5CA5BF4327898CDE0632D6C685_13</vt:lpwstr>
  </property>
</Properties>
</file>